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noProof/>
                      <w:color w:val="656565"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3810000" cy="2679700"/>
                        <wp:effectExtent l="0" t="0" r="0" b="6350"/>
                        <wp:docPr id="4" name="Immagine 4" descr="https://gallery.mailchimp.com/63c0d434ae41e1e56abb144a8/images/d7a38705-6cc3-4812-8760-3220da364f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63c0d434ae41e1e56abb144a8/images/d7a38705-6cc3-4812-8760-3220da364f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67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PREMIO LETTERARIO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br/>
                    <w:t>CORRADO ALVARO e LIBERO BIGIARETTI</w:t>
                  </w: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B22222"/>
                      <w:sz w:val="27"/>
                      <w:szCs w:val="27"/>
                      <w:u w:val="single"/>
                      <w:lang w:eastAsia="it-IT"/>
                    </w:rPr>
                    <w:t>ANNUNCIATA LA CINQUINA</w:t>
                  </w: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 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Venerdì 31 marzo 2017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 il Comitato 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irettivo del </w:t>
                  </w:r>
                  <w:r w:rsidRPr="008E312E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P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remio letterario Corrado Alvaro e Libero Bigiaretti presieduto da Giorgio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Nisini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si è riunito nella casa di campagna dei due scrittori per valutare le opere in gara.</w:t>
                  </w:r>
                </w:p>
                <w:p w:rsidR="008E312E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I libri pervenuti alla segreteria del premio sono stati 52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Le case editrici partecipanti 40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 Dopo ampia discussione il Comitato ha selezionato la seguente</w:t>
                  </w:r>
                  <w:r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Cinquina finalista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(in ordine alfabetico):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Giuseppe Aloe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 </w:t>
                  </w:r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Ieri ha chiamato Claire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Morin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Perrone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Andrea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Bajani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 </w:t>
                  </w:r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Un bene al mondo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 Einaudi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Gianfranco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Calligarich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 </w:t>
                  </w:r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La malinconia dei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Crusich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 Bompiani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Alberto Rollo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 </w:t>
                  </w:r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Un’educazione milanese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 Manni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Marco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Rossari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 </w:t>
                  </w:r>
                  <w:r w:rsidRPr="00601942">
                    <w:rPr>
                      <w:rFonts w:ascii="Georgia" w:eastAsia="Times New Roman" w:hAnsi="Georgia" w:cs="Helvetica"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Le cento vite di Nemesio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0"/>
                      <w:szCs w:val="20"/>
                      <w:lang w:eastAsia="it-IT"/>
                    </w:rPr>
                    <w:t>, e/o </w:t>
                  </w: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cinque libri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saranno ora valutati da una 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G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iuria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cientifica</w:t>
                  </w:r>
                  <w:r w:rsidR="008E312E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, composta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da Giuseppe Antonelli, Chiara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Carminati</w:t>
                  </w:r>
                  <w:proofErr w:type="spellEnd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 Carla Carotenuto,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Anne-Christine</w:t>
                  </w:r>
                  <w:proofErr w:type="spellEnd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Faitrop-Porta</w:t>
                  </w:r>
                  <w:proofErr w:type="spellEnd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 Fabrizio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Ottaviani</w:t>
                  </w:r>
                  <w:proofErr w:type="spellEnd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 Paolo Palma, Graziella Pulce, Eugenio Ragni, Fabio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Stassi</w:t>
                  </w:r>
                  <w:proofErr w:type="spellEnd"/>
                  <w:r w:rsid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ed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Emanuele Trevi</w:t>
                  </w:r>
                  <w:r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 da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una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G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iuria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opolare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presieduta da 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Paolo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Procaccioli</w:t>
                  </w:r>
                  <w:proofErr w:type="spellEnd"/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e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costituita da rappresentanti di arti, mestieri, associazioni del territorio, mondo giovanile e studentesco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. Le due giurie </w:t>
                  </w:r>
                  <w:r w:rsidR="008E312E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decreteranno</w:t>
                  </w:r>
                  <w:r w:rsidR="008E312E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entro il mese di aprile  il vincitore della terza edizione del premio,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che si svolgerà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sabato 13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lastRenderedPageBreak/>
                    <w:t>maggio 2017 a Vallerano (VT).</w:t>
                  </w:r>
                </w:p>
                <w:p w:rsidR="00601942" w:rsidRPr="00601942" w:rsidRDefault="00601942" w:rsidP="008E312E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Il Premio è organizzato dal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Comune di Vallerano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in collaborazione con l'associazione culturale 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Officina Mente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 Si avvale del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sostegno di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Fondazione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Carivit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e della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Ditta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Mizzella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156C85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Ulteriori informazioni sul sito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www.alvarobigiaretti.it</w:t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202020"/>
                      <w:sz w:val="23"/>
                      <w:szCs w:val="23"/>
                      <w:lang w:eastAsia="it-IT"/>
                    </w:rPr>
                    <w:t>Ufficio Stampa del Premio </w:t>
                  </w: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Francesca Comandini</w:t>
                  </w:r>
                  <w:r w:rsidRPr="00601942">
                    <w:rPr>
                      <w:rFonts w:ascii="Georgia" w:eastAsia="Times New Roman" w:hAnsi="Georgia" w:cs="Helvetica"/>
                      <w:color w:val="202020"/>
                      <w:sz w:val="21"/>
                      <w:szCs w:val="21"/>
                      <w:lang w:eastAsia="it-IT"/>
                    </w:rPr>
                    <w:t> </w:t>
                  </w:r>
                  <w:hyperlink r:id="rId5" w:tgtFrame="_blank" w:history="1">
                    <w:r w:rsidRPr="00601942">
                      <w:rPr>
                        <w:rFonts w:ascii="Georgia" w:eastAsia="Times New Roman" w:hAnsi="Georgia" w:cs="Helvetica"/>
                        <w:color w:val="000000"/>
                        <w:sz w:val="21"/>
                        <w:szCs w:val="21"/>
                        <w:u w:val="single"/>
                        <w:lang w:eastAsia="it-IT"/>
                      </w:rPr>
                      <w:t>+39 3403828160</w:t>
                    </w:r>
                  </w:hyperlink>
                  <w:r w:rsidRPr="00601942">
                    <w:rPr>
                      <w:rFonts w:ascii="Georgia" w:eastAsia="Times New Roman" w:hAnsi="Georgia" w:cs="Helvetica"/>
                      <w:color w:val="202020"/>
                      <w:sz w:val="21"/>
                      <w:szCs w:val="21"/>
                      <w:lang w:eastAsia="it-IT"/>
                    </w:rPr>
                    <w:t> press.francescacomandini@gmail.com</w:t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08"/>
      </w:tblGrid>
      <w:tr w:rsidR="00601942" w:rsidRPr="00601942" w:rsidTr="00601942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8"/>
                  </w:tblGrid>
                  <w:tr w:rsidR="00601942" w:rsidRPr="00601942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95"/>
                        </w:tblGrid>
                        <w:tr w:rsidR="00601942" w:rsidRPr="0060194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"/>
                              </w:tblGrid>
                              <w:tr w:rsidR="00601942" w:rsidRPr="0060194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45"/>
                                    </w:tblGrid>
                                    <w:tr w:rsidR="00601942" w:rsidRPr="0060194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601942" w:rsidRPr="00601942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601942" w:rsidRPr="00601942" w:rsidRDefault="00601942" w:rsidP="0060194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601942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28600" cy="228600"/>
                                                      <wp:effectExtent l="0" t="0" r="0" b="0"/>
                                                      <wp:docPr id="3" name="Immagine 3" descr="http://cdn-images.mailchimp.com/icons/social-block-v2/color-twitter-48.png">
                                                        <a:hlinkClick xmlns:a="http://schemas.openxmlformats.org/drawingml/2006/main" r:id="rId6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cdn-images.mailchimp.com/icons/social-block-v2/color-twitter-48.png">
                                                                <a:hlinkClick r:id="rId6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01942" w:rsidRPr="00601942" w:rsidRDefault="00601942" w:rsidP="006019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01942" w:rsidRPr="00601942" w:rsidRDefault="00601942" w:rsidP="006019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01942" w:rsidRPr="00601942" w:rsidRDefault="00601942" w:rsidP="006019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pPr w:leftFromText="30" w:rightFromText="30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"/>
                              </w:tblGrid>
                              <w:tr w:rsidR="00601942" w:rsidRPr="0060194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45"/>
                                    </w:tblGrid>
                                    <w:tr w:rsidR="00601942" w:rsidRPr="0060194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601942" w:rsidRPr="00601942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601942" w:rsidRPr="00601942" w:rsidRDefault="00601942" w:rsidP="0060194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601942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28600" cy="228600"/>
                                                      <wp:effectExtent l="0" t="0" r="0" b="0"/>
                                                      <wp:docPr id="2" name="Immagine 2" descr="http://cdn-images.mailchimp.com/icons/social-block-v2/color-facebook-48.png">
                                                        <a:hlinkClick xmlns:a="http://schemas.openxmlformats.org/drawingml/2006/main" r:id="rId8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://cdn-images.mailchimp.com/icons/social-block-v2/color-facebook-48.png">
                                                                <a:hlinkClick r:id="rId8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01942" w:rsidRPr="00601942" w:rsidRDefault="00601942" w:rsidP="006019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01942" w:rsidRPr="00601942" w:rsidRDefault="00601942" w:rsidP="006019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01942" w:rsidRPr="00601942" w:rsidRDefault="00601942" w:rsidP="006019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pPr w:leftFromText="30" w:rightFromText="30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45"/>
                              </w:tblGrid>
                              <w:tr w:rsidR="00601942" w:rsidRPr="0060194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45"/>
                                    </w:tblGrid>
                                    <w:tr w:rsidR="00601942" w:rsidRPr="0060194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601942" w:rsidRPr="00601942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601942" w:rsidRPr="00601942" w:rsidRDefault="00601942" w:rsidP="0060194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601942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28600" cy="228600"/>
                                                      <wp:effectExtent l="0" t="0" r="0" b="0"/>
                                                      <wp:docPr id="1" name="Immagine 1" descr="http://cdn-images.mailchimp.com/icons/social-block-v2/color-link-48.png">
                                                        <a:hlinkClick xmlns:a="http://schemas.openxmlformats.org/drawingml/2006/main" r:id="rId1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cdn-images.mailchimp.com/icons/social-block-v2/color-link-48.png">
                                                                <a:hlinkClick r:id="rId1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01942" w:rsidRPr="00601942" w:rsidRDefault="00601942" w:rsidP="006019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01942" w:rsidRPr="00601942" w:rsidRDefault="00601942" w:rsidP="006019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01942" w:rsidRPr="00601942" w:rsidRDefault="00601942" w:rsidP="006019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601942" w:rsidRPr="00601942" w:rsidRDefault="00601942" w:rsidP="006019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601942" w:rsidRPr="00601942" w:rsidRDefault="00601942" w:rsidP="00601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78"/>
      </w:tblGrid>
      <w:tr w:rsidR="00601942" w:rsidRPr="00601942" w:rsidTr="00601942">
        <w:tc>
          <w:tcPr>
            <w:tcW w:w="0" w:type="auto"/>
            <w:tcMar>
              <w:top w:w="150" w:type="dxa"/>
              <w:left w:w="270" w:type="dxa"/>
              <w:bottom w:w="3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EEEEE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vAlign w:val="center"/>
                  <w:hideMark/>
                </w:tcPr>
                <w:p w:rsidR="00601942" w:rsidRPr="00601942" w:rsidRDefault="00601942" w:rsidP="00601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 xml:space="preserve">Copyright © 2017 Francesca </w:t>
                  </w:r>
                  <w:proofErr w:type="spellStart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>Comandini</w:t>
                  </w:r>
                  <w:proofErr w:type="spellEnd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 xml:space="preserve">, </w:t>
                  </w:r>
                  <w:proofErr w:type="spellStart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>All</w:t>
                  </w:r>
                  <w:proofErr w:type="spellEnd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>rights</w:t>
                  </w:r>
                  <w:proofErr w:type="spellEnd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>reserved</w:t>
                  </w:r>
                  <w:proofErr w:type="spellEnd"/>
                  <w:r w:rsidRPr="00601942">
                    <w:rPr>
                      <w:rFonts w:ascii="Helvetica" w:eastAsia="Times New Roman" w:hAnsi="Helvetica" w:cs="Helvetica"/>
                      <w:i/>
                      <w:iCs/>
                      <w:color w:val="656565"/>
                      <w:sz w:val="18"/>
                      <w:szCs w:val="18"/>
                      <w:lang w:eastAsia="it-IT"/>
                    </w:rPr>
                    <w:t>.</w:t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F45F7" w:rsidRDefault="006F45F7"/>
    <w:sectPr w:rsidR="006F45F7" w:rsidSect="0015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5C06"/>
    <w:rsid w:val="001559AD"/>
    <w:rsid w:val="00156C85"/>
    <w:rsid w:val="00601942"/>
    <w:rsid w:val="006F45F7"/>
    <w:rsid w:val="008E312E"/>
    <w:rsid w:val="0097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9A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1942"/>
    <w:rPr>
      <w:b/>
      <w:bCs/>
    </w:rPr>
  </w:style>
  <w:style w:type="character" w:customStyle="1" w:styleId="apple-converted-space">
    <w:name w:val="apple-converted-space"/>
    <w:basedOn w:val="Carpredefinitoparagrafo"/>
    <w:rsid w:val="00601942"/>
  </w:style>
  <w:style w:type="character" w:styleId="Enfasicorsivo">
    <w:name w:val="Emphasis"/>
    <w:basedOn w:val="Carpredefinitoparagrafo"/>
    <w:uiPriority w:val="20"/>
    <w:qFormat/>
    <w:rsid w:val="0060194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019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" TargetMode="External"/><Relationship Id="rId11" Type="http://schemas.openxmlformats.org/officeDocument/2006/relationships/image" Target="media/image4.png"/><Relationship Id="rId5" Type="http://schemas.openxmlformats.org/officeDocument/2006/relationships/hyperlink" Target="tel:%2B39%203403828160" TargetMode="External"/><Relationship Id="rId10" Type="http://schemas.openxmlformats.org/officeDocument/2006/relationships/hyperlink" Target="http://mailchimp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Giorgio Nisini</cp:lastModifiedBy>
  <cp:revision>5</cp:revision>
  <dcterms:created xsi:type="dcterms:W3CDTF">2017-04-02T15:33:00Z</dcterms:created>
  <dcterms:modified xsi:type="dcterms:W3CDTF">2017-04-02T18:01:00Z</dcterms:modified>
</cp:coreProperties>
</file>